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23B8" w14:textId="77777777" w:rsidR="0045350B" w:rsidRDefault="0045350B" w:rsidP="00C74B7D">
      <w:pPr>
        <w:pStyle w:val="3vff3xh4yd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D8E4FE" wp14:editId="51D59FFE">
            <wp:simplePos x="0" y="0"/>
            <wp:positionH relativeFrom="margin">
              <wp:posOffset>-422910</wp:posOffset>
            </wp:positionH>
            <wp:positionV relativeFrom="paragraph">
              <wp:posOffset>-502285</wp:posOffset>
            </wp:positionV>
            <wp:extent cx="6810375" cy="12573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for KYFSC letterhea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6" b="83159"/>
                    <a:stretch/>
                  </pic:blipFill>
                  <pic:spPr bwMode="auto">
                    <a:xfrm>
                      <a:off x="0" y="0"/>
                      <a:ext cx="681037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C16B8" w14:textId="77777777" w:rsidR="0045350B" w:rsidRDefault="0045350B" w:rsidP="00C74B7D">
      <w:pPr>
        <w:pStyle w:val="3vff3xh4yd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5410789E" w14:textId="77777777" w:rsidR="0045350B" w:rsidRDefault="0045350B" w:rsidP="00C74B7D">
      <w:pPr>
        <w:pStyle w:val="3vff3xh4yd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16F03545" w14:textId="77777777" w:rsidR="00680329" w:rsidRPr="00B37E8A" w:rsidRDefault="00C74B7D" w:rsidP="00C74B7D">
      <w:pPr>
        <w:pStyle w:val="3vff3xh4yd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B37E8A">
        <w:rPr>
          <w:rFonts w:asciiTheme="minorHAnsi" w:hAnsiTheme="minorHAnsi" w:cstheme="minorHAnsi"/>
          <w:b/>
          <w:bCs/>
          <w:sz w:val="32"/>
          <w:szCs w:val="32"/>
        </w:rPr>
        <w:t>Workplace Wellness Community Supported Agriculture (CSA) Program</w:t>
      </w:r>
      <w:r w:rsidR="00672533" w:rsidRPr="00B37E8A">
        <w:rPr>
          <w:rFonts w:asciiTheme="minorHAnsi" w:hAnsiTheme="minorHAnsi" w:cstheme="minorHAnsi"/>
          <w:b/>
          <w:bCs/>
          <w:sz w:val="32"/>
          <w:szCs w:val="32"/>
        </w:rPr>
        <w:t xml:space="preserve"> Impact on Diet-Related Medical Claims </w:t>
      </w:r>
    </w:p>
    <w:p w14:paraId="183852D0" w14:textId="77777777" w:rsidR="00680329" w:rsidRPr="00B37E8A" w:rsidRDefault="00680329" w:rsidP="00C74B7D">
      <w:pPr>
        <w:pStyle w:val="3vff3xh4yd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43CDB8A0" w14:textId="77777777" w:rsidR="00C74B7D" w:rsidRPr="00B37E8A" w:rsidRDefault="00C74B7D" w:rsidP="00C74B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37E8A">
        <w:rPr>
          <w:rFonts w:asciiTheme="minorHAnsi" w:hAnsiTheme="minorHAnsi" w:cstheme="minorHAnsi"/>
          <w:color w:val="222222"/>
        </w:rPr>
        <w:t xml:space="preserve">Over the past three years, a group of farmers have developed </w:t>
      </w:r>
      <w:hyperlink r:id="rId9" w:tgtFrame="_blank" w:history="1">
        <w:r w:rsidRPr="00B37E8A">
          <w:rPr>
            <w:rStyle w:val="Hyperlink"/>
            <w:rFonts w:asciiTheme="minorHAnsi" w:hAnsiTheme="minorHAnsi" w:cstheme="minorHAnsi"/>
            <w:color w:val="1155CC"/>
          </w:rPr>
          <w:t>Kentucky Farm Share Coalition</w:t>
        </w:r>
      </w:hyperlink>
      <w:r w:rsidRPr="00B37E8A">
        <w:rPr>
          <w:rFonts w:asciiTheme="minorHAnsi" w:hAnsiTheme="minorHAnsi" w:cstheme="minorHAnsi"/>
          <w:color w:val="222222"/>
        </w:rPr>
        <w:t xml:space="preserve">, a workplace wellness CSA program that partners with employers to offer employees increased access to healthy produce. Through this program employers provide incentives (typically $200 per employee) to a subset of their employees towards the purchase of a CSA share from a participating farm. Then, for 20-22 weeks the employees enjoy convenient workplace pickup of their own box of locally grown, organic vegetables. When only 6.3% of Kentucky adults meet the daily </w:t>
      </w:r>
      <w:r w:rsidR="00B37E8A">
        <w:rPr>
          <w:rFonts w:asciiTheme="minorHAnsi" w:hAnsiTheme="minorHAnsi" w:cstheme="minorHAnsi"/>
          <w:color w:val="222222"/>
        </w:rPr>
        <w:t>vegetable intake recommendation</w:t>
      </w:r>
      <w:r w:rsidR="00246407">
        <w:rPr>
          <w:rFonts w:asciiTheme="minorHAnsi" w:hAnsiTheme="minorHAnsi" w:cstheme="minorHAnsi"/>
          <w:color w:val="222222"/>
        </w:rPr>
        <w:t xml:space="preserve"> and so many </w:t>
      </w:r>
      <w:proofErr w:type="gramStart"/>
      <w:r w:rsidR="00246407">
        <w:rPr>
          <w:rFonts w:asciiTheme="minorHAnsi" w:hAnsiTheme="minorHAnsi" w:cstheme="minorHAnsi"/>
          <w:color w:val="222222"/>
        </w:rPr>
        <w:t>struggle</w:t>
      </w:r>
      <w:proofErr w:type="gramEnd"/>
      <w:r w:rsidR="00246407">
        <w:rPr>
          <w:rFonts w:asciiTheme="minorHAnsi" w:hAnsiTheme="minorHAnsi" w:cstheme="minorHAnsi"/>
          <w:color w:val="222222"/>
        </w:rPr>
        <w:t xml:space="preserve"> with diet related illnesses,</w:t>
      </w:r>
      <w:r w:rsidRPr="00B37E8A">
        <w:rPr>
          <w:rFonts w:asciiTheme="minorHAnsi" w:hAnsiTheme="minorHAnsi" w:cstheme="minorHAnsi"/>
          <w:color w:val="222222"/>
        </w:rPr>
        <w:t xml:space="preserve"> this is a low-cost way to invest in employees’ health, while amplifying the impact of wellness programs.</w:t>
      </w:r>
      <w:r w:rsidRPr="00B37E8A">
        <w:rPr>
          <w:rFonts w:asciiTheme="minorHAnsi" w:hAnsiTheme="minorHAnsi" w:cstheme="minorHAnsi"/>
          <w:color w:val="222222"/>
        </w:rPr>
        <w:br/>
      </w:r>
    </w:p>
    <w:p w14:paraId="46309B68" w14:textId="77777777" w:rsidR="00C74B7D" w:rsidRDefault="00B37E8A" w:rsidP="00C74B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A65FCA">
        <w:rPr>
          <w:rFonts w:asciiTheme="minorHAnsi" w:hAnsiTheme="minorHAnsi" w:cstheme="minorHAnsi"/>
          <w:b/>
          <w:color w:val="222222"/>
        </w:rPr>
        <w:t>Through this program, our research partners</w:t>
      </w:r>
      <w:r w:rsidR="00C74B7D" w:rsidRPr="00A65FCA">
        <w:rPr>
          <w:rFonts w:asciiTheme="minorHAnsi" w:hAnsiTheme="minorHAnsi" w:cstheme="minorHAnsi"/>
          <w:b/>
          <w:color w:val="222222"/>
        </w:rPr>
        <w:t xml:space="preserve"> at the University of Kentucky</w:t>
      </w:r>
      <w:r w:rsidRPr="00A65FCA">
        <w:rPr>
          <w:rFonts w:asciiTheme="minorHAnsi" w:hAnsiTheme="minorHAnsi" w:cstheme="minorHAnsi"/>
          <w:b/>
          <w:color w:val="222222"/>
        </w:rPr>
        <w:t xml:space="preserve"> (UK)</w:t>
      </w:r>
      <w:r w:rsidR="00C74B7D" w:rsidRPr="00A65FCA">
        <w:rPr>
          <w:rFonts w:asciiTheme="minorHAnsi" w:hAnsiTheme="minorHAnsi" w:cstheme="minorHAnsi"/>
          <w:b/>
          <w:color w:val="222222"/>
        </w:rPr>
        <w:t xml:space="preserve"> </w:t>
      </w:r>
      <w:r w:rsidR="00672533" w:rsidRPr="00A65FCA">
        <w:rPr>
          <w:rFonts w:asciiTheme="minorHAnsi" w:hAnsiTheme="minorHAnsi" w:cstheme="minorHAnsi"/>
          <w:b/>
          <w:color w:val="222222"/>
        </w:rPr>
        <w:t>have explored</w:t>
      </w:r>
      <w:r w:rsidR="00C74B7D" w:rsidRPr="00A65FCA">
        <w:rPr>
          <w:rFonts w:asciiTheme="minorHAnsi" w:hAnsiTheme="minorHAnsi" w:cstheme="minorHAnsi"/>
          <w:b/>
          <w:color w:val="222222"/>
        </w:rPr>
        <w:t xml:space="preserve"> two years of medical claims data for </w:t>
      </w:r>
      <w:r w:rsidRPr="00A65FCA">
        <w:rPr>
          <w:rFonts w:asciiTheme="minorHAnsi" w:hAnsiTheme="minorHAnsi" w:cstheme="minorHAnsi"/>
          <w:b/>
          <w:color w:val="222222"/>
        </w:rPr>
        <w:t xml:space="preserve">UK </w:t>
      </w:r>
      <w:r w:rsidR="00C74B7D" w:rsidRPr="00A65FCA">
        <w:rPr>
          <w:rFonts w:asciiTheme="minorHAnsi" w:hAnsiTheme="minorHAnsi" w:cstheme="minorHAnsi"/>
          <w:b/>
          <w:color w:val="222222"/>
        </w:rPr>
        <w:t>CSA participants and non-participants.</w:t>
      </w:r>
      <w:r w:rsidR="00C74B7D" w:rsidRPr="00B37E8A">
        <w:rPr>
          <w:rFonts w:asciiTheme="minorHAnsi" w:hAnsiTheme="minorHAnsi" w:cstheme="minorHAnsi"/>
          <w:color w:val="222222"/>
        </w:rPr>
        <w:t xml:space="preserve"> One of the most remarkable findings is the statistically significant cost savings for those CSA participants who start the season with a history of high diet-related medical claims expenditures.</w:t>
      </w:r>
      <w:r w:rsidRPr="00B37E8A">
        <w:rPr>
          <w:rFonts w:asciiTheme="minorHAnsi" w:hAnsiTheme="minorHAnsi" w:cstheme="minorHAnsi"/>
          <w:color w:val="222222"/>
        </w:rPr>
        <w:t xml:space="preserve"> </w:t>
      </w:r>
      <w:r w:rsidR="009F2925">
        <w:rPr>
          <w:rFonts w:asciiTheme="minorHAnsi" w:hAnsiTheme="minorHAnsi" w:cstheme="minorHAnsi"/>
          <w:color w:val="222222"/>
        </w:rPr>
        <w:t>T</w:t>
      </w:r>
      <w:r w:rsidRPr="00B37E8A">
        <w:rPr>
          <w:rFonts w:asciiTheme="minorHAnsi" w:hAnsiTheme="minorHAnsi" w:cstheme="minorHAnsi"/>
          <w:color w:val="222222"/>
        </w:rPr>
        <w:t xml:space="preserve">he </w:t>
      </w:r>
      <w:r w:rsidR="00626175">
        <w:rPr>
          <w:rFonts w:asciiTheme="minorHAnsi" w:hAnsiTheme="minorHAnsi" w:cstheme="minorHAnsi"/>
          <w:color w:val="222222"/>
        </w:rPr>
        <w:t>November 2018</w:t>
      </w:r>
      <w:r w:rsidRPr="00B37E8A">
        <w:rPr>
          <w:rFonts w:asciiTheme="minorHAnsi" w:hAnsiTheme="minorHAnsi" w:cstheme="minorHAnsi"/>
          <w:color w:val="222222"/>
        </w:rPr>
        <w:t xml:space="preserve"> s</w:t>
      </w:r>
      <w:r w:rsidR="00A65FCA">
        <w:rPr>
          <w:rFonts w:asciiTheme="minorHAnsi" w:hAnsiTheme="minorHAnsi" w:cstheme="minorHAnsi"/>
          <w:color w:val="222222"/>
        </w:rPr>
        <w:t>taff paper</w:t>
      </w:r>
      <w:r w:rsidR="00C76251">
        <w:rPr>
          <w:rFonts w:asciiTheme="minorHAnsi" w:hAnsiTheme="minorHAnsi" w:cstheme="minorHAnsi"/>
          <w:color w:val="222222"/>
        </w:rPr>
        <w:t xml:space="preserve">, </w:t>
      </w:r>
      <w:r w:rsidR="00CC2878">
        <w:rPr>
          <w:rFonts w:asciiTheme="minorHAnsi" w:hAnsiTheme="minorHAnsi" w:cstheme="minorHAnsi"/>
          <w:color w:val="000000" w:themeColor="text1"/>
        </w:rPr>
        <w:t>“</w:t>
      </w:r>
      <w:r w:rsidR="00CC2878" w:rsidRPr="00CC2878">
        <w:rPr>
          <w:rFonts w:asciiTheme="minorHAnsi" w:hAnsiTheme="minorHAnsi" w:cstheme="minorHAnsi"/>
          <w:color w:val="000000" w:themeColor="text1"/>
        </w:rPr>
        <w:t>Diet-Related Medical Expenditure Impacts of a CSA Voucher Program</w:t>
      </w:r>
      <w:r w:rsidR="009F2925">
        <w:rPr>
          <w:rFonts w:asciiTheme="minorHAnsi" w:hAnsiTheme="minorHAnsi" w:cstheme="minorHAnsi"/>
          <w:color w:val="000000" w:themeColor="text1"/>
        </w:rPr>
        <w:t>”</w:t>
      </w:r>
      <w:r w:rsidR="009F2925">
        <w:rPr>
          <w:rStyle w:val="EndnoteReference"/>
          <w:rFonts w:asciiTheme="minorHAnsi" w:hAnsiTheme="minorHAnsi" w:cstheme="minorHAnsi"/>
          <w:color w:val="000000" w:themeColor="text1"/>
        </w:rPr>
        <w:endnoteReference w:id="1"/>
      </w:r>
      <w:r w:rsidR="009F2925">
        <w:rPr>
          <w:rFonts w:asciiTheme="minorHAnsi" w:hAnsiTheme="minorHAnsi" w:cstheme="minorHAnsi"/>
          <w:color w:val="000000" w:themeColor="text1"/>
        </w:rPr>
        <w:t>, highlights</w:t>
      </w:r>
      <w:r w:rsidRPr="00B37E8A">
        <w:rPr>
          <w:rFonts w:asciiTheme="minorHAnsi" w:hAnsiTheme="minorHAnsi" w:cstheme="minorHAnsi"/>
          <w:color w:val="222222"/>
        </w:rPr>
        <w:t>:</w:t>
      </w:r>
    </w:p>
    <w:p w14:paraId="51C6B0FC" w14:textId="77777777" w:rsidR="00A65FCA" w:rsidRPr="00B37E8A" w:rsidRDefault="00A65FCA" w:rsidP="00C74B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4E8082F8" w14:textId="77777777" w:rsidR="00C74B7D" w:rsidRDefault="00B37E8A" w:rsidP="00C74B7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37E8A">
        <w:rPr>
          <w:rFonts w:asciiTheme="minorHAnsi" w:hAnsiTheme="minorHAnsi" w:cstheme="minorHAnsi"/>
          <w:b/>
          <w:color w:val="222222"/>
        </w:rPr>
        <w:t>CSA participants who start the season with a history of high diet-related medical claims expenditures</w:t>
      </w:r>
      <w:r w:rsidR="00C74B7D" w:rsidRPr="00B37E8A">
        <w:rPr>
          <w:rFonts w:asciiTheme="minorHAnsi" w:hAnsiTheme="minorHAnsi" w:cstheme="minorHAnsi"/>
          <w:b/>
          <w:color w:val="222222"/>
        </w:rPr>
        <w:t xml:space="preserve"> showed a significant d</w:t>
      </w:r>
      <w:r w:rsidR="00C74B7D" w:rsidRPr="00B37E8A">
        <w:rPr>
          <w:rFonts w:asciiTheme="minorHAnsi" w:hAnsiTheme="minorHAnsi" w:cstheme="minorHAnsi"/>
          <w:b/>
          <w:bCs/>
        </w:rPr>
        <w:t xml:space="preserve">ecrease </w:t>
      </w:r>
      <w:r w:rsidR="00C74B7D" w:rsidRPr="00B37E8A">
        <w:rPr>
          <w:rFonts w:asciiTheme="minorHAnsi" w:hAnsiTheme="minorHAnsi" w:cstheme="minorHAnsi"/>
          <w:b/>
        </w:rPr>
        <w:t xml:space="preserve">in diet-related medical </w:t>
      </w:r>
      <w:r w:rsidRPr="00B37E8A">
        <w:rPr>
          <w:rFonts w:asciiTheme="minorHAnsi" w:hAnsiTheme="minorHAnsi" w:cstheme="minorHAnsi"/>
          <w:b/>
        </w:rPr>
        <w:t>claims</w:t>
      </w:r>
      <w:r w:rsidR="00C74B7D" w:rsidRPr="00B37E8A">
        <w:rPr>
          <w:rFonts w:asciiTheme="minorHAnsi" w:hAnsiTheme="minorHAnsi" w:cstheme="minorHAnsi"/>
          <w:b/>
        </w:rPr>
        <w:t xml:space="preserve"> (2015--$900; 2016--$1300) as well as a significant d</w:t>
      </w:r>
      <w:r w:rsidR="00C74B7D" w:rsidRPr="00B37E8A">
        <w:rPr>
          <w:rFonts w:asciiTheme="minorHAnsi" w:hAnsiTheme="minorHAnsi" w:cstheme="minorHAnsi"/>
          <w:b/>
          <w:bCs/>
        </w:rPr>
        <w:t xml:space="preserve">ecrease </w:t>
      </w:r>
      <w:r w:rsidR="00C74B7D" w:rsidRPr="00B37E8A">
        <w:rPr>
          <w:rFonts w:asciiTheme="minorHAnsi" w:hAnsiTheme="minorHAnsi" w:cstheme="minorHAnsi"/>
          <w:b/>
        </w:rPr>
        <w:t xml:space="preserve">in pharmacy expenditures (2015--$180; 2016--$230) over 12 months </w:t>
      </w:r>
      <w:r w:rsidR="00A65FCA">
        <w:rPr>
          <w:rFonts w:asciiTheme="minorHAnsi" w:hAnsiTheme="minorHAnsi" w:cstheme="minorHAnsi"/>
          <w:b/>
        </w:rPr>
        <w:t>following</w:t>
      </w:r>
      <w:r w:rsidR="00C74B7D" w:rsidRPr="00B37E8A">
        <w:rPr>
          <w:rFonts w:asciiTheme="minorHAnsi" w:hAnsiTheme="minorHAnsi" w:cstheme="minorHAnsi"/>
          <w:b/>
        </w:rPr>
        <w:t xml:space="preserve"> the start of intervention. </w:t>
      </w:r>
    </w:p>
    <w:p w14:paraId="332D529D" w14:textId="77777777" w:rsidR="00F35E09" w:rsidRPr="00B37E8A" w:rsidRDefault="00F35E09" w:rsidP="00C74B7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222222"/>
        </w:rPr>
        <w:t>Total</w:t>
      </w:r>
      <w:r w:rsidR="00044D6A">
        <w:rPr>
          <w:rFonts w:asciiTheme="minorHAnsi" w:hAnsiTheme="minorHAnsi" w:cstheme="minorHAnsi"/>
          <w:b/>
          <w:color w:val="222222"/>
        </w:rPr>
        <w:t xml:space="preserve"> decrease in medical and pharmacy claims for those with high diet related claims = $1080 (2015) and $1,530 (2016)</w:t>
      </w:r>
    </w:p>
    <w:p w14:paraId="6CC727CD" w14:textId="77777777" w:rsidR="00C74B7D" w:rsidRPr="00B37E8A" w:rsidRDefault="00A65FCA" w:rsidP="00C74B7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C74B7D" w:rsidRPr="00B37E8A">
        <w:rPr>
          <w:rFonts w:asciiTheme="minorHAnsi" w:hAnsiTheme="minorHAnsi" w:cstheme="minorHAnsi"/>
        </w:rPr>
        <w:t>here was no change in the low-expenditure group.</w:t>
      </w:r>
    </w:p>
    <w:p w14:paraId="2F4ECA5A" w14:textId="77777777" w:rsidR="00C74B7D" w:rsidRPr="00B37E8A" w:rsidRDefault="00B37E8A" w:rsidP="00C74B7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37E8A">
        <w:rPr>
          <w:rFonts w:asciiTheme="minorHAnsi" w:hAnsiTheme="minorHAnsi" w:cstheme="minorHAnsi"/>
        </w:rPr>
        <w:t>T</w:t>
      </w:r>
      <w:r w:rsidR="00C74B7D" w:rsidRPr="00B37E8A">
        <w:rPr>
          <w:rFonts w:asciiTheme="minorHAnsi" w:hAnsiTheme="minorHAnsi" w:cstheme="minorHAnsi"/>
        </w:rPr>
        <w:t xml:space="preserve">his is a conservative estimate, looking only at the employee medical claims, not the household, though presumably everyone in the household </w:t>
      </w:r>
      <w:r w:rsidR="00672533" w:rsidRPr="00B37E8A">
        <w:rPr>
          <w:rFonts w:asciiTheme="minorHAnsi" w:hAnsiTheme="minorHAnsi" w:cstheme="minorHAnsi"/>
        </w:rPr>
        <w:t>consumed vegetables from the CSA share.</w:t>
      </w:r>
    </w:p>
    <w:p w14:paraId="7CB5A14E" w14:textId="77777777" w:rsidR="00672533" w:rsidRPr="009F2925" w:rsidRDefault="00672533" w:rsidP="00C74B7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37E8A">
        <w:rPr>
          <w:rFonts w:asciiTheme="minorHAnsi" w:hAnsiTheme="minorHAnsi" w:cstheme="minorHAnsi"/>
        </w:rPr>
        <w:t xml:space="preserve">The researchers recognize these are short term impacts and look forward to continued data collection to measure long-term impact. In the future they will also run matching analysis to address the issue of how this study is non-randomized since participants are actively choosing to </w:t>
      </w:r>
      <w:r w:rsidR="00B37E8A" w:rsidRPr="00B37E8A">
        <w:rPr>
          <w:rFonts w:asciiTheme="minorHAnsi" w:hAnsiTheme="minorHAnsi" w:cstheme="minorHAnsi"/>
        </w:rPr>
        <w:t>purchase</w:t>
      </w:r>
      <w:r w:rsidRPr="00B37E8A">
        <w:rPr>
          <w:rFonts w:asciiTheme="minorHAnsi" w:hAnsiTheme="minorHAnsi" w:cstheme="minorHAnsi"/>
        </w:rPr>
        <w:t xml:space="preserve"> CSA</w:t>
      </w:r>
      <w:r w:rsidR="00B37E8A" w:rsidRPr="00B37E8A">
        <w:rPr>
          <w:rFonts w:asciiTheme="minorHAnsi" w:hAnsiTheme="minorHAnsi" w:cstheme="minorHAnsi"/>
        </w:rPr>
        <w:t xml:space="preserve"> shares</w:t>
      </w:r>
      <w:r w:rsidRPr="00B37E8A">
        <w:rPr>
          <w:rFonts w:asciiTheme="minorHAnsi" w:hAnsiTheme="minorHAnsi" w:cstheme="minorHAnsi"/>
        </w:rPr>
        <w:t xml:space="preserve">. </w:t>
      </w:r>
      <w:r w:rsidR="00B37E8A" w:rsidRPr="00B37E8A">
        <w:rPr>
          <w:rFonts w:asciiTheme="minorHAnsi" w:hAnsiTheme="minorHAnsi" w:cstheme="minorHAnsi"/>
        </w:rPr>
        <w:t xml:space="preserve">Furthermore, the researchers will use new analysis to account for the consistent increase in cost of medical care. </w:t>
      </w:r>
      <w:r w:rsidR="00B37E8A" w:rsidRPr="00B37E8A">
        <w:rPr>
          <w:rFonts w:asciiTheme="minorHAnsi" w:hAnsiTheme="minorHAnsi" w:cstheme="minorHAnsi"/>
          <w:bCs/>
          <w:color w:val="222222"/>
        </w:rPr>
        <w:t>Overall medical expenditures per 6/months have risen at UK from $2797 in the first part of 2014 to $6216 for that same period in 2018</w:t>
      </w:r>
      <w:r w:rsidR="00B37E8A" w:rsidRPr="00B37E8A">
        <w:rPr>
          <w:rFonts w:asciiTheme="minorHAnsi" w:hAnsiTheme="minorHAnsi" w:cstheme="minorHAnsi"/>
          <w:color w:val="222222"/>
        </w:rPr>
        <w:t>, diet-related medical/pharmacy have risen proportionally, so it seems reasonable to expect impacts of programs like this to be increasing.</w:t>
      </w:r>
    </w:p>
    <w:p w14:paraId="5EFA1988" w14:textId="77777777" w:rsidR="009F2925" w:rsidRDefault="009F2925" w:rsidP="009F292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Previous research based on CSA participant self-reported data shows </w:t>
      </w:r>
      <w:r>
        <w:rPr>
          <w:rFonts w:asciiTheme="minorHAnsi" w:hAnsiTheme="minorHAnsi" w:cstheme="minorHAnsi"/>
        </w:rPr>
        <w:t xml:space="preserve">that those who are CSA members report </w:t>
      </w:r>
      <w:r>
        <w:rPr>
          <w:rStyle w:val="EndnoteReference"/>
          <w:rFonts w:cstheme="minorHAnsi"/>
        </w:rPr>
        <w:endnoteReference w:id="2"/>
      </w:r>
      <w:r>
        <w:rPr>
          <w:rFonts w:asciiTheme="minorHAnsi" w:hAnsiTheme="minorHAnsi" w:cstheme="minorHAnsi"/>
        </w:rPr>
        <w:t>:</w:t>
      </w:r>
    </w:p>
    <w:p w14:paraId="3BB25B56" w14:textId="77777777" w:rsidR="00000000" w:rsidRPr="009F2925" w:rsidRDefault="00DF64CA" w:rsidP="009F2925">
      <w:pPr>
        <w:pStyle w:val="NormalWeb"/>
        <w:numPr>
          <w:ilvl w:val="0"/>
          <w:numId w:val="8"/>
        </w:numPr>
        <w:spacing w:before="0"/>
        <w:rPr>
          <w:rFonts w:asciiTheme="minorHAnsi" w:hAnsiTheme="minorHAnsi" w:cstheme="minorHAnsi"/>
        </w:rPr>
      </w:pPr>
      <w:r w:rsidRPr="009F2925">
        <w:rPr>
          <w:rFonts w:asciiTheme="minorHAnsi" w:hAnsiTheme="minorHAnsi" w:cstheme="minorHAnsi"/>
          <w:b/>
          <w:bCs/>
          <w:u w:val="single"/>
        </w:rPr>
        <w:t>Decrease</w:t>
      </w:r>
      <w:r w:rsidRPr="009F2925">
        <w:rPr>
          <w:rFonts w:asciiTheme="minorHAnsi" w:hAnsiTheme="minorHAnsi" w:cstheme="minorHAnsi"/>
        </w:rPr>
        <w:t xml:space="preserve"> in annual doctors’ visits</w:t>
      </w:r>
    </w:p>
    <w:p w14:paraId="4466BF6B" w14:textId="77777777" w:rsidR="00000000" w:rsidRPr="009F2925" w:rsidRDefault="00DF64CA" w:rsidP="009F2925">
      <w:pPr>
        <w:pStyle w:val="NormalWeb"/>
        <w:numPr>
          <w:ilvl w:val="0"/>
          <w:numId w:val="8"/>
        </w:numPr>
        <w:spacing w:before="0"/>
        <w:rPr>
          <w:rFonts w:asciiTheme="minorHAnsi" w:hAnsiTheme="minorHAnsi" w:cstheme="minorHAnsi"/>
        </w:rPr>
      </w:pPr>
      <w:r w:rsidRPr="009F2925">
        <w:rPr>
          <w:rFonts w:asciiTheme="minorHAnsi" w:hAnsiTheme="minorHAnsi" w:cstheme="minorHAnsi"/>
          <w:b/>
          <w:bCs/>
          <w:u w:val="single"/>
        </w:rPr>
        <w:t>Decrease</w:t>
      </w:r>
      <w:r w:rsidRPr="009F2925">
        <w:rPr>
          <w:rFonts w:asciiTheme="minorHAnsi" w:hAnsiTheme="minorHAnsi" w:cstheme="minorHAnsi"/>
        </w:rPr>
        <w:t xml:space="preserve"> in pharmacy ex</w:t>
      </w:r>
      <w:r w:rsidRPr="009F2925">
        <w:rPr>
          <w:rFonts w:asciiTheme="minorHAnsi" w:hAnsiTheme="minorHAnsi" w:cstheme="minorHAnsi"/>
        </w:rPr>
        <w:t>penditures</w:t>
      </w:r>
    </w:p>
    <w:p w14:paraId="34CA4928" w14:textId="77777777" w:rsidR="00000000" w:rsidRPr="009F2925" w:rsidRDefault="00DF64CA" w:rsidP="009F2925">
      <w:pPr>
        <w:pStyle w:val="NormalWeb"/>
        <w:numPr>
          <w:ilvl w:val="0"/>
          <w:numId w:val="8"/>
        </w:numPr>
        <w:spacing w:before="0"/>
        <w:rPr>
          <w:rFonts w:asciiTheme="minorHAnsi" w:hAnsiTheme="minorHAnsi" w:cstheme="minorHAnsi"/>
        </w:rPr>
      </w:pPr>
      <w:r w:rsidRPr="009F2925">
        <w:rPr>
          <w:rFonts w:asciiTheme="minorHAnsi" w:hAnsiTheme="minorHAnsi" w:cstheme="minorHAnsi"/>
          <w:b/>
          <w:bCs/>
          <w:u w:val="single"/>
        </w:rPr>
        <w:t>Increase</w:t>
      </w:r>
      <w:r w:rsidRPr="009F2925">
        <w:rPr>
          <w:rFonts w:asciiTheme="minorHAnsi" w:hAnsiTheme="minorHAnsi" w:cstheme="minorHAnsi"/>
        </w:rPr>
        <w:t xml:space="preserve"> in F&amp;V intake    </w:t>
      </w:r>
    </w:p>
    <w:p w14:paraId="4F6562D7" w14:textId="77777777" w:rsidR="009F2925" w:rsidRPr="009F2925" w:rsidRDefault="00DF64CA" w:rsidP="009F2925">
      <w:pPr>
        <w:pStyle w:val="NormalWeb"/>
        <w:numPr>
          <w:ilvl w:val="0"/>
          <w:numId w:val="8"/>
        </w:numPr>
        <w:spacing w:before="0"/>
        <w:rPr>
          <w:rFonts w:asciiTheme="minorHAnsi" w:hAnsiTheme="minorHAnsi" w:cstheme="minorHAnsi"/>
        </w:rPr>
      </w:pPr>
      <w:r w:rsidRPr="009F2925">
        <w:rPr>
          <w:rFonts w:asciiTheme="minorHAnsi" w:hAnsiTheme="minorHAnsi" w:cstheme="minorHAnsi"/>
          <w:b/>
          <w:bCs/>
          <w:u w:val="single"/>
        </w:rPr>
        <w:t>Increase</w:t>
      </w:r>
      <w:r w:rsidRPr="009F2925">
        <w:rPr>
          <w:rFonts w:asciiTheme="minorHAnsi" w:hAnsiTheme="minorHAnsi" w:cstheme="minorHAnsi"/>
        </w:rPr>
        <w:t xml:space="preserve"> in perceived health</w:t>
      </w:r>
    </w:p>
    <w:p w14:paraId="7F8DADBD" w14:textId="77777777" w:rsidR="00C74B7D" w:rsidRPr="00B37E8A" w:rsidRDefault="00C74B7D" w:rsidP="00C74B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794F317B" w14:textId="77777777" w:rsidR="00A65FCA" w:rsidRPr="00A65FCA" w:rsidRDefault="00A65FCA" w:rsidP="00C74B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22222"/>
        </w:rPr>
      </w:pPr>
      <w:r w:rsidRPr="00A65FCA">
        <w:rPr>
          <w:rFonts w:asciiTheme="minorHAnsi" w:hAnsiTheme="minorHAnsi" w:cstheme="minorHAnsi"/>
          <w:b/>
          <w:color w:val="222222"/>
        </w:rPr>
        <w:t>In 2018</w:t>
      </w:r>
    </w:p>
    <w:p w14:paraId="6E2A2568" w14:textId="77777777" w:rsidR="00A65FCA" w:rsidRDefault="0045350B" w:rsidP="00A65FC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Our </w:t>
      </w:r>
      <w:r w:rsidR="00C74B7D" w:rsidRPr="00B37E8A">
        <w:rPr>
          <w:rFonts w:asciiTheme="minorHAnsi" w:hAnsiTheme="minorHAnsi" w:cstheme="minorHAnsi"/>
          <w:color w:val="222222"/>
        </w:rPr>
        <w:t xml:space="preserve">employer partners </w:t>
      </w:r>
      <w:r w:rsidR="00672533" w:rsidRPr="00B37E8A">
        <w:rPr>
          <w:rFonts w:asciiTheme="minorHAnsi" w:hAnsiTheme="minorHAnsi" w:cstheme="minorHAnsi"/>
          <w:color w:val="222222"/>
        </w:rPr>
        <w:t>encouraged</w:t>
      </w:r>
      <w:r w:rsidR="00C74B7D" w:rsidRPr="00B37E8A">
        <w:rPr>
          <w:rFonts w:asciiTheme="minorHAnsi" w:hAnsiTheme="minorHAnsi" w:cstheme="minorHAnsi"/>
          <w:color w:val="222222"/>
        </w:rPr>
        <w:t xml:space="preserve"> over 500 employees </w:t>
      </w:r>
      <w:r w:rsidR="00672533" w:rsidRPr="00B37E8A">
        <w:rPr>
          <w:rFonts w:asciiTheme="minorHAnsi" w:hAnsiTheme="minorHAnsi" w:cstheme="minorHAnsi"/>
          <w:color w:val="222222"/>
        </w:rPr>
        <w:t xml:space="preserve">to </w:t>
      </w:r>
      <w:r w:rsidR="00C74B7D" w:rsidRPr="00B37E8A">
        <w:rPr>
          <w:rFonts w:asciiTheme="minorHAnsi" w:hAnsiTheme="minorHAnsi" w:cstheme="minorHAnsi"/>
          <w:color w:val="222222"/>
        </w:rPr>
        <w:t>purchase CSA shares</w:t>
      </w:r>
      <w:r w:rsidR="00A65FCA">
        <w:rPr>
          <w:rFonts w:asciiTheme="minorHAnsi" w:hAnsiTheme="minorHAnsi" w:cstheme="minorHAnsi"/>
          <w:color w:val="222222"/>
        </w:rPr>
        <w:t xml:space="preserve"> with </w:t>
      </w:r>
      <w:r w:rsidR="00C74B7D" w:rsidRPr="00B37E8A">
        <w:rPr>
          <w:rFonts w:asciiTheme="minorHAnsi" w:hAnsiTheme="minorHAnsi" w:cstheme="minorHAnsi"/>
          <w:color w:val="222222"/>
        </w:rPr>
        <w:t>an employer incentive</w:t>
      </w:r>
      <w:r w:rsidR="00672533" w:rsidRPr="00B37E8A">
        <w:rPr>
          <w:rFonts w:asciiTheme="minorHAnsi" w:hAnsiTheme="minorHAnsi" w:cstheme="minorHAnsi"/>
          <w:color w:val="222222"/>
        </w:rPr>
        <w:t xml:space="preserve"> of $100-$200 toward the $450-$650 share</w:t>
      </w:r>
    </w:p>
    <w:p w14:paraId="61E9EC02" w14:textId="77777777" w:rsidR="00A65FCA" w:rsidRDefault="00A65FCA" w:rsidP="00A65FC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</w:t>
      </w:r>
      <w:r w:rsidR="00672533" w:rsidRPr="00B37E8A">
        <w:rPr>
          <w:rFonts w:asciiTheme="minorHAnsi" w:hAnsiTheme="minorHAnsi" w:cstheme="minorHAnsi"/>
          <w:color w:val="222222"/>
        </w:rPr>
        <w:t xml:space="preserve">his </w:t>
      </w:r>
      <w:r w:rsidR="0045350B">
        <w:rPr>
          <w:rFonts w:asciiTheme="minorHAnsi" w:hAnsiTheme="minorHAnsi" w:cstheme="minorHAnsi"/>
          <w:color w:val="222222"/>
        </w:rPr>
        <w:t>resulted in</w:t>
      </w:r>
      <w:r w:rsidR="00672533" w:rsidRPr="00B37E8A">
        <w:rPr>
          <w:rFonts w:asciiTheme="minorHAnsi" w:hAnsiTheme="minorHAnsi" w:cstheme="minorHAnsi"/>
          <w:color w:val="222222"/>
        </w:rPr>
        <w:t xml:space="preserve"> more than $300,000 direct farm gate impact </w:t>
      </w:r>
      <w:r w:rsidR="0045350B">
        <w:rPr>
          <w:rFonts w:asciiTheme="minorHAnsi" w:hAnsiTheme="minorHAnsi" w:cstheme="minorHAnsi"/>
          <w:color w:val="222222"/>
        </w:rPr>
        <w:t>to</w:t>
      </w:r>
      <w:r>
        <w:rPr>
          <w:rFonts w:asciiTheme="minorHAnsi" w:hAnsiTheme="minorHAnsi" w:cstheme="minorHAnsi"/>
          <w:color w:val="222222"/>
        </w:rPr>
        <w:t xml:space="preserve"> our participating farms.</w:t>
      </w:r>
    </w:p>
    <w:p w14:paraId="660FF1D9" w14:textId="77777777" w:rsidR="00A65FCA" w:rsidRDefault="00A65FCA" w:rsidP="00A65F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0CBE0BF8" w14:textId="77777777" w:rsidR="00A65FCA" w:rsidRPr="00A65FCA" w:rsidRDefault="00A65FCA" w:rsidP="00A65FC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22222"/>
        </w:rPr>
      </w:pPr>
      <w:r w:rsidRPr="00A65FCA">
        <w:rPr>
          <w:rFonts w:asciiTheme="minorHAnsi" w:hAnsiTheme="minorHAnsi" w:cstheme="minorHAnsi"/>
          <w:b/>
          <w:color w:val="222222"/>
        </w:rPr>
        <w:t>In 2019:</w:t>
      </w:r>
    </w:p>
    <w:p w14:paraId="71DDDF6A" w14:textId="77777777" w:rsidR="00A65FCA" w:rsidRPr="00A65FCA" w:rsidRDefault="00A65FCA" w:rsidP="00A65FC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We expect the program to</w:t>
      </w:r>
      <w:r w:rsidR="00C74B7D" w:rsidRPr="00A65FCA">
        <w:rPr>
          <w:rFonts w:asciiTheme="minorHAnsi" w:hAnsiTheme="minorHAnsi" w:cstheme="minorHAnsi"/>
          <w:color w:val="222222"/>
        </w:rPr>
        <w:t xml:space="preserve"> move more tha</w:t>
      </w:r>
      <w:r>
        <w:rPr>
          <w:rFonts w:asciiTheme="minorHAnsi" w:hAnsiTheme="minorHAnsi" w:cstheme="minorHAnsi"/>
          <w:color w:val="222222"/>
        </w:rPr>
        <w:t xml:space="preserve">n 800 shares, </w:t>
      </w:r>
      <w:r w:rsidR="0045350B" w:rsidRPr="00A65FCA">
        <w:rPr>
          <w:rFonts w:asciiTheme="minorHAnsi" w:hAnsiTheme="minorHAnsi" w:cstheme="minorHAnsi"/>
          <w:color w:val="222222"/>
        </w:rPr>
        <w:t xml:space="preserve">totaling nearly $500,000 </w:t>
      </w:r>
      <w:r>
        <w:rPr>
          <w:rFonts w:asciiTheme="minorHAnsi" w:hAnsiTheme="minorHAnsi" w:cstheme="minorHAnsi"/>
          <w:color w:val="222222"/>
        </w:rPr>
        <w:t>in CSA sales for participating farms</w:t>
      </w:r>
    </w:p>
    <w:p w14:paraId="67D0D9CB" w14:textId="77777777" w:rsidR="00C74B7D" w:rsidRPr="00B37E8A" w:rsidRDefault="00C74B7D" w:rsidP="00C74B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52403D5A" w14:textId="77777777" w:rsidR="00C74B7D" w:rsidRPr="0045350B" w:rsidRDefault="00C74B7D" w:rsidP="00C74B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22222"/>
        </w:rPr>
      </w:pPr>
      <w:r w:rsidRPr="0045350B">
        <w:rPr>
          <w:rFonts w:asciiTheme="minorHAnsi" w:hAnsiTheme="minorHAnsi" w:cstheme="minorHAnsi"/>
          <w:b/>
          <w:color w:val="222222"/>
        </w:rPr>
        <w:t>Employer partners:</w:t>
      </w:r>
    </w:p>
    <w:p w14:paraId="057E8229" w14:textId="77777777" w:rsidR="00C74B7D" w:rsidRPr="00B37E8A" w:rsidRDefault="00C74B7D" w:rsidP="00C74B7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37E8A">
        <w:rPr>
          <w:rFonts w:asciiTheme="minorHAnsi" w:hAnsiTheme="minorHAnsi" w:cstheme="minorHAnsi"/>
          <w:color w:val="222222"/>
        </w:rPr>
        <w:t>Lexington-Fayette Urban County Government</w:t>
      </w:r>
    </w:p>
    <w:p w14:paraId="615417EA" w14:textId="77777777" w:rsidR="00C74B7D" w:rsidRPr="00B37E8A" w:rsidRDefault="00C74B7D" w:rsidP="00C74B7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37E8A">
        <w:rPr>
          <w:rFonts w:asciiTheme="minorHAnsi" w:hAnsiTheme="minorHAnsi" w:cstheme="minorHAnsi"/>
          <w:color w:val="222222"/>
        </w:rPr>
        <w:t>University of Kentucky</w:t>
      </w:r>
    </w:p>
    <w:p w14:paraId="72264E9C" w14:textId="77777777" w:rsidR="00C74B7D" w:rsidRPr="00B37E8A" w:rsidRDefault="00C74B7D" w:rsidP="00C74B7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37E8A">
        <w:rPr>
          <w:rFonts w:asciiTheme="minorHAnsi" w:hAnsiTheme="minorHAnsi" w:cstheme="minorHAnsi"/>
          <w:color w:val="222222"/>
        </w:rPr>
        <w:t>Valvoline Global Headquarters</w:t>
      </w:r>
    </w:p>
    <w:p w14:paraId="42A2B85F" w14:textId="77777777" w:rsidR="00C74B7D" w:rsidRPr="00B37E8A" w:rsidRDefault="00C74B7D" w:rsidP="00C74B7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37E8A">
        <w:rPr>
          <w:rFonts w:asciiTheme="minorHAnsi" w:hAnsiTheme="minorHAnsi" w:cstheme="minorHAnsi"/>
          <w:color w:val="222222"/>
        </w:rPr>
        <w:t>Louisville Metro Government</w:t>
      </w:r>
      <w:r w:rsidR="0045350B">
        <w:rPr>
          <w:rFonts w:asciiTheme="minorHAnsi" w:hAnsiTheme="minorHAnsi" w:cstheme="minorHAnsi"/>
          <w:color w:val="222222"/>
        </w:rPr>
        <w:t xml:space="preserve"> (</w:t>
      </w:r>
      <w:r w:rsidR="00246407">
        <w:rPr>
          <w:rFonts w:asciiTheme="minorHAnsi" w:hAnsiTheme="minorHAnsi" w:cstheme="minorHAnsi"/>
          <w:color w:val="222222"/>
        </w:rPr>
        <w:t xml:space="preserve">active in </w:t>
      </w:r>
      <w:r w:rsidR="0045350B">
        <w:rPr>
          <w:rFonts w:asciiTheme="minorHAnsi" w:hAnsiTheme="minorHAnsi" w:cstheme="minorHAnsi"/>
          <w:color w:val="222222"/>
        </w:rPr>
        <w:t>2018, currently requesting funding for 2019)</w:t>
      </w:r>
    </w:p>
    <w:p w14:paraId="7787FE88" w14:textId="77777777" w:rsidR="00C74B7D" w:rsidRPr="00B37E8A" w:rsidRDefault="00C74B7D" w:rsidP="00C74B7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37E8A">
        <w:rPr>
          <w:rFonts w:asciiTheme="minorHAnsi" w:hAnsiTheme="minorHAnsi" w:cstheme="minorHAnsi"/>
          <w:color w:val="222222"/>
        </w:rPr>
        <w:t>EC Matthews Construction</w:t>
      </w:r>
    </w:p>
    <w:p w14:paraId="373CA86F" w14:textId="77777777" w:rsidR="00C74B7D" w:rsidRPr="00B37E8A" w:rsidRDefault="00C74B7D" w:rsidP="00C74B7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37E8A">
        <w:rPr>
          <w:rFonts w:asciiTheme="minorHAnsi" w:hAnsiTheme="minorHAnsi" w:cstheme="minorHAnsi"/>
          <w:color w:val="222222"/>
        </w:rPr>
        <w:t>Sekisui</w:t>
      </w:r>
    </w:p>
    <w:p w14:paraId="2D167C13" w14:textId="77777777" w:rsidR="00C74B7D" w:rsidRPr="00B37E8A" w:rsidRDefault="00C74B7D" w:rsidP="00C74B7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spellStart"/>
      <w:r w:rsidRPr="00B37E8A">
        <w:rPr>
          <w:rFonts w:asciiTheme="minorHAnsi" w:hAnsiTheme="minorHAnsi" w:cstheme="minorHAnsi"/>
          <w:color w:val="222222"/>
        </w:rPr>
        <w:t>Genscape</w:t>
      </w:r>
      <w:proofErr w:type="spellEnd"/>
    </w:p>
    <w:p w14:paraId="52A29EE5" w14:textId="77777777" w:rsidR="00C74B7D" w:rsidRPr="00B37E8A" w:rsidRDefault="00C74B7D" w:rsidP="00C74B7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37E8A">
        <w:rPr>
          <w:rFonts w:asciiTheme="minorHAnsi" w:hAnsiTheme="minorHAnsi" w:cstheme="minorHAnsi"/>
          <w:color w:val="222222"/>
        </w:rPr>
        <w:t>Lexington-Fayette County Health Department</w:t>
      </w:r>
    </w:p>
    <w:p w14:paraId="43B6A7A9" w14:textId="77777777" w:rsidR="00C74B7D" w:rsidRPr="00B37E8A" w:rsidRDefault="00C74B7D" w:rsidP="00C74B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514ACA85" w14:textId="77777777" w:rsidR="00C74B7D" w:rsidRPr="0045350B" w:rsidRDefault="00C74B7D" w:rsidP="00C74B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22222"/>
        </w:rPr>
      </w:pPr>
      <w:r w:rsidRPr="0045350B">
        <w:rPr>
          <w:rFonts w:asciiTheme="minorHAnsi" w:hAnsiTheme="minorHAnsi" w:cstheme="minorHAnsi"/>
          <w:b/>
          <w:color w:val="222222"/>
        </w:rPr>
        <w:t>Farm partners:</w:t>
      </w:r>
    </w:p>
    <w:p w14:paraId="3D483F23" w14:textId="77777777" w:rsidR="00C74B7D" w:rsidRPr="00B37E8A" w:rsidRDefault="00C74B7D" w:rsidP="00C74B7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37E8A">
        <w:rPr>
          <w:rFonts w:asciiTheme="minorHAnsi" w:hAnsiTheme="minorHAnsi" w:cstheme="minorHAnsi"/>
          <w:color w:val="222222"/>
        </w:rPr>
        <w:t>Elmwood Stock Farm</w:t>
      </w:r>
    </w:p>
    <w:p w14:paraId="17AAEDFF" w14:textId="77777777" w:rsidR="00A65FCA" w:rsidRPr="00B37E8A" w:rsidRDefault="00A65FCA" w:rsidP="00A65FC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37E8A">
        <w:rPr>
          <w:rFonts w:asciiTheme="minorHAnsi" w:hAnsiTheme="minorHAnsi" w:cstheme="minorHAnsi"/>
          <w:color w:val="222222"/>
        </w:rPr>
        <w:t>Rootbound Farm</w:t>
      </w:r>
    </w:p>
    <w:p w14:paraId="1378FFAB" w14:textId="77777777" w:rsidR="00C74B7D" w:rsidRPr="00B37E8A" w:rsidRDefault="00C74B7D" w:rsidP="00C74B7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37E8A">
        <w:rPr>
          <w:rFonts w:asciiTheme="minorHAnsi" w:hAnsiTheme="minorHAnsi" w:cstheme="minorHAnsi"/>
          <w:color w:val="222222"/>
        </w:rPr>
        <w:t>Lazy Eight Stock Farm</w:t>
      </w:r>
    </w:p>
    <w:p w14:paraId="23F50728" w14:textId="77777777" w:rsidR="00C74B7D" w:rsidRPr="00B37E8A" w:rsidRDefault="00C74B7D" w:rsidP="00C74B7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37E8A">
        <w:rPr>
          <w:rFonts w:asciiTheme="minorHAnsi" w:hAnsiTheme="minorHAnsi" w:cstheme="minorHAnsi"/>
          <w:color w:val="222222"/>
        </w:rPr>
        <w:t>Sustainable Harvest Farm</w:t>
      </w:r>
    </w:p>
    <w:p w14:paraId="0A2060AD" w14:textId="77777777" w:rsidR="00C74B7D" w:rsidRDefault="00C74B7D" w:rsidP="00C74B7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B37E8A">
        <w:rPr>
          <w:rFonts w:asciiTheme="minorHAnsi" w:hAnsiTheme="minorHAnsi" w:cstheme="minorHAnsi"/>
          <w:color w:val="222222"/>
        </w:rPr>
        <w:t>University of Kentucky CSA</w:t>
      </w:r>
    </w:p>
    <w:p w14:paraId="172989D8" w14:textId="77777777" w:rsidR="00A65FCA" w:rsidRDefault="00A65FCA" w:rsidP="00C74B7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As share sales increase the Kentucky Farm Share Coalition will accept new farms offering certified organic CSA into the program. </w:t>
      </w:r>
    </w:p>
    <w:p w14:paraId="2F99D167" w14:textId="77777777" w:rsidR="00B16933" w:rsidRDefault="00B16933" w:rsidP="00C74B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3B031D28" w14:textId="77777777" w:rsidR="00B16933" w:rsidRDefault="00B16933" w:rsidP="00C74B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01825EFA" w14:textId="77777777" w:rsidR="00C74B7D" w:rsidRPr="00B57F22" w:rsidRDefault="00B16933" w:rsidP="00C74B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57F22">
        <w:rPr>
          <w:rFonts w:asciiTheme="minorHAnsi" w:hAnsiTheme="minorHAnsi" w:cstheme="minorHAnsi"/>
          <w:color w:val="222222"/>
          <w:sz w:val="22"/>
          <w:szCs w:val="22"/>
        </w:rPr>
        <w:t xml:space="preserve">For more information about the </w:t>
      </w:r>
      <w:hyperlink r:id="rId10" w:history="1">
        <w:r w:rsidRPr="00B57F22">
          <w:rPr>
            <w:rStyle w:val="Hyperlink"/>
            <w:rFonts w:asciiTheme="minorHAnsi" w:hAnsiTheme="minorHAnsi" w:cstheme="minorHAnsi"/>
            <w:sz w:val="22"/>
            <w:szCs w:val="22"/>
          </w:rPr>
          <w:t>Kentucky Farm Share Coalition</w:t>
        </w:r>
      </w:hyperlink>
      <w:r w:rsidRPr="00B57F22">
        <w:rPr>
          <w:rFonts w:asciiTheme="minorHAnsi" w:hAnsiTheme="minorHAnsi" w:cstheme="minorHAnsi"/>
          <w:color w:val="222222"/>
          <w:sz w:val="22"/>
          <w:szCs w:val="22"/>
        </w:rPr>
        <w:t xml:space="preserve"> contact Brooke Gentile, Executive Director of the </w:t>
      </w:r>
      <w:hyperlink r:id="rId11" w:history="1">
        <w:r w:rsidRPr="00B57F22">
          <w:rPr>
            <w:rStyle w:val="Hyperlink"/>
            <w:rFonts w:asciiTheme="minorHAnsi" w:hAnsiTheme="minorHAnsi" w:cstheme="minorHAnsi"/>
            <w:sz w:val="22"/>
            <w:szCs w:val="22"/>
          </w:rPr>
          <w:t>Organic Association of Kentucky</w:t>
        </w:r>
      </w:hyperlink>
      <w:r w:rsidRPr="00B57F22">
        <w:rPr>
          <w:rFonts w:asciiTheme="minorHAnsi" w:hAnsiTheme="minorHAnsi" w:cstheme="minorHAnsi"/>
          <w:color w:val="222222"/>
          <w:sz w:val="22"/>
          <w:szCs w:val="22"/>
        </w:rPr>
        <w:t xml:space="preserve"> at </w:t>
      </w:r>
      <w:hyperlink r:id="rId12" w:history="1">
        <w:r w:rsidRPr="00B57F22">
          <w:rPr>
            <w:rStyle w:val="Hyperlink"/>
            <w:rFonts w:asciiTheme="minorHAnsi" w:hAnsiTheme="minorHAnsi" w:cstheme="minorHAnsi"/>
            <w:sz w:val="22"/>
            <w:szCs w:val="22"/>
          </w:rPr>
          <w:t>brooke@oak-ky.org</w:t>
        </w:r>
      </w:hyperlink>
      <w:r w:rsidRPr="00B57F22">
        <w:rPr>
          <w:rFonts w:asciiTheme="minorHAnsi" w:hAnsiTheme="minorHAnsi" w:cstheme="minorHAnsi"/>
          <w:color w:val="222222"/>
          <w:sz w:val="22"/>
          <w:szCs w:val="22"/>
        </w:rPr>
        <w:t xml:space="preserve"> or 502-219-7378. </w:t>
      </w:r>
    </w:p>
    <w:p w14:paraId="01824F53" w14:textId="77777777" w:rsidR="00C74B7D" w:rsidRDefault="00C74B7D" w:rsidP="00C74B7D">
      <w:pPr>
        <w:pStyle w:val="3vff3xh4yd"/>
        <w:spacing w:before="0" w:beforeAutospacing="0" w:after="0" w:afterAutospacing="0"/>
        <w:rPr>
          <w:rFonts w:ascii="&amp;quot" w:hAnsi="&amp;quot"/>
          <w:b/>
          <w:bCs/>
        </w:rPr>
      </w:pPr>
    </w:p>
    <w:p w14:paraId="7F29E6F6" w14:textId="77777777" w:rsidR="00B16933" w:rsidRDefault="00B16933" w:rsidP="00C74B7D">
      <w:pPr>
        <w:pStyle w:val="3vff3xh4yd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58E5F78" w14:textId="77777777" w:rsidR="000E33E0" w:rsidRDefault="000E33E0" w:rsidP="00CC2878">
      <w:pPr>
        <w:pStyle w:val="3vff3xh4yd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41F13FB5" w14:textId="77777777" w:rsidR="00B16933" w:rsidRPr="00CC2878" w:rsidRDefault="00401654" w:rsidP="00CC2878">
      <w:pPr>
        <w:pStyle w:val="3vff3xh4yd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Workplace Wellness CSA </w:t>
      </w:r>
      <w:r w:rsidR="00B16933" w:rsidRPr="00B16933">
        <w:rPr>
          <w:rFonts w:asciiTheme="minorHAnsi" w:hAnsiTheme="minorHAnsi" w:cstheme="minorHAnsi"/>
          <w:b/>
          <w:bCs/>
        </w:rPr>
        <w:t xml:space="preserve">Research </w:t>
      </w:r>
      <w:r>
        <w:rPr>
          <w:rFonts w:asciiTheme="minorHAnsi" w:hAnsiTheme="minorHAnsi" w:cstheme="minorHAnsi"/>
          <w:b/>
          <w:bCs/>
        </w:rPr>
        <w:t>Related to the Kentucky Farm Share Coalition:</w:t>
      </w:r>
    </w:p>
    <w:p w14:paraId="5F25D6AC" w14:textId="77777777" w:rsidR="009F2925" w:rsidRDefault="009F2925" w:rsidP="009F2925">
      <w:pPr>
        <w:pStyle w:val="NormalWeb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14:paraId="49A96F1B" w14:textId="77777777" w:rsidR="009F2925" w:rsidRPr="00B16933" w:rsidRDefault="009F2925" w:rsidP="009F2925">
      <w:pPr>
        <w:pStyle w:val="NormalWeb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B16933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Allen, James, IV, Jairus Rossi, Timothy Woods, Alison Davis, “Do community supported agriculture </w:t>
      </w:r>
      <w:proofErr w:type="spellStart"/>
      <w:r w:rsidRPr="00B16933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programmes</w:t>
      </w:r>
      <w:proofErr w:type="spellEnd"/>
      <w:r w:rsidRPr="00B16933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encourage change to food lifestyle </w:t>
      </w:r>
      <w:proofErr w:type="spellStart"/>
      <w:r w:rsidRPr="00B16933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behaviours</w:t>
      </w:r>
      <w:proofErr w:type="spellEnd"/>
      <w:r w:rsidRPr="00B16933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and health outcomes? New evidence from shareholders,” International Journal of Agricultural Sustainability, May 2016. </w:t>
      </w:r>
      <w:proofErr w:type="spellStart"/>
      <w:r w:rsidRPr="00B16933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doi</w:t>
      </w:r>
      <w:proofErr w:type="spellEnd"/>
      <w:r w:rsidRPr="00B16933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: 10.1080/14735903.2016.1177866.  </w:t>
      </w:r>
      <w:hyperlink r:id="rId13" w:history="1">
        <w:r w:rsidRPr="00B16933">
          <w:rPr>
            <w:rStyle w:val="Hyperlink"/>
            <w:rFonts w:asciiTheme="minorHAnsi" w:hAnsiTheme="minorHAnsi" w:cstheme="minorHAnsi"/>
            <w:color w:val="000000" w:themeColor="text1"/>
            <w:bdr w:val="none" w:sz="0" w:space="0" w:color="auto" w:frame="1"/>
          </w:rPr>
          <w:t>http://www.tandfonline.com/10.1080/14735903.2016.1177866</w:t>
        </w:r>
      </w:hyperlink>
      <w:r w:rsidRPr="00B16933">
        <w:rPr>
          <w:rFonts w:asciiTheme="minorHAnsi" w:hAnsiTheme="minorHAnsi" w:cstheme="minorHAnsi"/>
          <w:color w:val="000000" w:themeColor="text1"/>
        </w:rPr>
        <w:t xml:space="preserve"> </w:t>
      </w:r>
    </w:p>
    <w:p w14:paraId="1D5C18A5" w14:textId="375DD1DA" w:rsidR="00B16933" w:rsidRPr="00B16933" w:rsidRDefault="009F2925" w:rsidP="00BC4DE9">
      <w:pPr>
        <w:pStyle w:val="NormalWeb"/>
        <w:spacing w:before="0" w:line="345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CC2878">
        <w:rPr>
          <w:rFonts w:asciiTheme="minorHAnsi" w:hAnsiTheme="minorHAnsi" w:cstheme="minorHAnsi"/>
          <w:color w:val="000000" w:themeColor="text1"/>
        </w:rPr>
        <w:t>“</w:t>
      </w:r>
      <w:r w:rsidR="00CC2878" w:rsidRPr="00CC2878">
        <w:rPr>
          <w:rFonts w:asciiTheme="minorHAnsi" w:hAnsiTheme="minorHAnsi" w:cstheme="minorHAnsi"/>
          <w:color w:val="000000" w:themeColor="text1"/>
        </w:rPr>
        <w:t xml:space="preserve">Diet-Related Medical Expenditure Impacts of a CSA Voucher Program”, Department of Agricultural Economics Staff Paper No. 497, University of Kentucky, </w:t>
      </w:r>
      <w:proofErr w:type="gramStart"/>
      <w:r w:rsidR="00CC2878" w:rsidRPr="00CC2878">
        <w:rPr>
          <w:rFonts w:asciiTheme="minorHAnsi" w:hAnsiTheme="minorHAnsi" w:cstheme="minorHAnsi"/>
          <w:color w:val="000000" w:themeColor="text1"/>
        </w:rPr>
        <w:t>November,</w:t>
      </w:r>
      <w:proofErr w:type="gramEnd"/>
      <w:r w:rsidR="00CC2878" w:rsidRPr="00CC2878">
        <w:rPr>
          <w:rFonts w:asciiTheme="minorHAnsi" w:hAnsiTheme="minorHAnsi" w:cstheme="minorHAnsi"/>
          <w:color w:val="000000" w:themeColor="text1"/>
        </w:rPr>
        <w:t xml:space="preserve"> 2018.</w:t>
      </w:r>
      <w:r w:rsidR="00CC2878">
        <w:rPr>
          <w:rFonts w:asciiTheme="minorHAnsi" w:hAnsiTheme="minorHAnsi" w:cstheme="minorHAnsi"/>
          <w:color w:val="000000" w:themeColor="text1"/>
        </w:rPr>
        <w:t xml:space="preserve"> </w:t>
      </w:r>
      <w:hyperlink r:id="rId14" w:history="1">
        <w:r w:rsidR="00CC2878" w:rsidRPr="00CC2878">
          <w:rPr>
            <w:rStyle w:val="Hyperlink"/>
            <w:rFonts w:asciiTheme="minorHAnsi" w:hAnsiTheme="minorHAnsi" w:cstheme="minorHAnsi"/>
          </w:rPr>
          <w:t>www.uky.edu/ccd/sites/www.uky.edu.ccd/files/Rossi%26Woods_CSAVoucher_StaffPaper_11092018.pdf</w:t>
        </w:r>
      </w:hyperlink>
    </w:p>
    <w:p w14:paraId="712A281D" w14:textId="25487795" w:rsidR="00B16933" w:rsidRDefault="00B16933" w:rsidP="00B16933">
      <w:pPr>
        <w:pStyle w:val="NormalWeb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B16933">
        <w:rPr>
          <w:rFonts w:asciiTheme="minorHAnsi" w:hAnsiTheme="minorHAnsi" w:cstheme="minorHAnsi"/>
          <w:color w:val="000000" w:themeColor="text1"/>
        </w:rPr>
        <w:t xml:space="preserve">Rossi, Jairus, James E. Allen, Timothy A. Woods, and Alison F. Davis (2017), “CSA Shareholder Food Lifestyle Behaviors: A Comparison Across Different Consumer Groups”, Journal of Agriculture and Human Values, doi:10.1007/s10460-017-9779-7, </w:t>
      </w:r>
      <w:hyperlink r:id="rId15" w:history="1">
        <w:r w:rsidRPr="00B16933">
          <w:rPr>
            <w:rStyle w:val="Hyperlink"/>
            <w:rFonts w:asciiTheme="minorHAnsi" w:hAnsiTheme="minorHAnsi" w:cstheme="minorHAnsi"/>
            <w:color w:val="000000" w:themeColor="text1"/>
            <w:bdr w:val="none" w:sz="0" w:space="0" w:color="auto" w:frame="1"/>
          </w:rPr>
          <w:t>http://link.springer.com/article/10.1007/s10460-017-9779-7</w:t>
        </w:r>
      </w:hyperlink>
      <w:r w:rsidRPr="00B16933">
        <w:rPr>
          <w:rFonts w:asciiTheme="minorHAnsi" w:hAnsiTheme="minorHAnsi" w:cstheme="minorHAnsi"/>
          <w:color w:val="000000" w:themeColor="text1"/>
        </w:rPr>
        <w:t xml:space="preserve"> </w:t>
      </w:r>
    </w:p>
    <w:p w14:paraId="68204B5E" w14:textId="39F856DA" w:rsidR="00BC4DE9" w:rsidRDefault="00BC4DE9" w:rsidP="00B16933">
      <w:pPr>
        <w:pStyle w:val="NormalWeb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E79485A" w14:textId="77777777" w:rsidR="00BC4DE9" w:rsidRPr="00B16933" w:rsidRDefault="00BC4DE9" w:rsidP="00BC4DE9">
      <w:pPr>
        <w:pStyle w:val="NormalWeb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B16933">
        <w:rPr>
          <w:rFonts w:asciiTheme="minorHAnsi" w:hAnsiTheme="minorHAnsi" w:cstheme="minorHAnsi"/>
          <w:color w:val="000000" w:themeColor="text1"/>
        </w:rPr>
        <w:t xml:space="preserve">Rossi, Jairus J., Timothy A. Woods, and James E. Allen IV (2017), “Impacts of a Community Supported Agriculture (CSA) Voucher Program on Food Lifestyle Behaviors: Evidence from an Employer-Sponsored Pilot Program”, Sustainability </w:t>
      </w:r>
      <w:hyperlink r:id="rId16" w:history="1">
        <w:r w:rsidRPr="00B16933">
          <w:rPr>
            <w:rStyle w:val="Hyperlink"/>
            <w:rFonts w:asciiTheme="minorHAnsi" w:hAnsiTheme="minorHAnsi" w:cstheme="minorHAnsi"/>
            <w:color w:val="000000" w:themeColor="text1"/>
            <w:bdr w:val="none" w:sz="0" w:space="0" w:color="auto" w:frame="1"/>
          </w:rPr>
          <w:t>http://dx.doi.org/10.3390/su9091543</w:t>
        </w:r>
      </w:hyperlink>
      <w:r w:rsidRPr="00B16933">
        <w:rPr>
          <w:rFonts w:asciiTheme="minorHAnsi" w:hAnsiTheme="minorHAnsi" w:cstheme="minorHAnsi"/>
          <w:color w:val="000000" w:themeColor="text1"/>
        </w:rPr>
        <w:t xml:space="preserve"> </w:t>
      </w:r>
    </w:p>
    <w:p w14:paraId="7951C6E2" w14:textId="77777777" w:rsidR="00B16933" w:rsidRPr="00B16933" w:rsidRDefault="00B16933" w:rsidP="00B16933">
      <w:pPr>
        <w:pStyle w:val="NormalWeb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bookmarkStart w:id="0" w:name="_GoBack"/>
      <w:bookmarkEnd w:id="0"/>
    </w:p>
    <w:p w14:paraId="5147D119" w14:textId="77777777" w:rsidR="00B16933" w:rsidRPr="00B16933" w:rsidRDefault="00B16933" w:rsidP="00B16933">
      <w:pPr>
        <w:pStyle w:val="NormalWeb"/>
        <w:spacing w:before="0" w:beforeAutospacing="0" w:after="0" w:afterAutospacing="0" w:line="345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B16933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Woods, Timothy, Jairus Rossi, James Allen, and Graham </w:t>
      </w:r>
      <w:proofErr w:type="spellStart"/>
      <w:r w:rsidRPr="00B16933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Soley</w:t>
      </w:r>
      <w:proofErr w:type="spellEnd"/>
      <w:r w:rsidRPr="00B16933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, “Comparative Wellness Metrics – CSA Shareholders versus Everybody Else</w:t>
      </w:r>
      <w:proofErr w:type="gramStart"/>
      <w:r w:rsidRPr="00B16933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”,  Selected</w:t>
      </w:r>
      <w:proofErr w:type="gramEnd"/>
      <w:r w:rsidRPr="00B16933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paper presented at the WERA-72 Regional Research for Agribusiness annual meeting, Las Vegas, NV, June, 2015.</w:t>
      </w:r>
      <w:r w:rsidRPr="00B16933">
        <w:rPr>
          <w:rFonts w:asciiTheme="minorHAnsi" w:hAnsiTheme="minorHAnsi" w:cstheme="minorHAnsi"/>
          <w:color w:val="000000" w:themeColor="text1"/>
        </w:rPr>
        <w:t xml:space="preserve"> </w:t>
      </w:r>
    </w:p>
    <w:p w14:paraId="4B2D95CE" w14:textId="77777777" w:rsidR="00680329" w:rsidRPr="00B16933" w:rsidRDefault="00680329" w:rsidP="00B16933">
      <w:pPr>
        <w:pStyle w:val="3vff3xh4yd"/>
        <w:spacing w:before="0"/>
        <w:rPr>
          <w:rFonts w:asciiTheme="minorHAnsi" w:hAnsiTheme="minorHAnsi" w:cstheme="minorHAnsi"/>
          <w:bCs/>
        </w:rPr>
      </w:pPr>
    </w:p>
    <w:sectPr w:rsidR="00680329" w:rsidRPr="00B16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BBCB7" w14:textId="77777777" w:rsidR="00DF64CA" w:rsidRDefault="00DF64CA" w:rsidP="00680329">
      <w:pPr>
        <w:spacing w:after="0" w:line="240" w:lineRule="auto"/>
      </w:pPr>
      <w:r>
        <w:separator/>
      </w:r>
    </w:p>
  </w:endnote>
  <w:endnote w:type="continuationSeparator" w:id="0">
    <w:p w14:paraId="3E921E38" w14:textId="77777777" w:rsidR="00DF64CA" w:rsidRDefault="00DF64CA" w:rsidP="00680329">
      <w:pPr>
        <w:spacing w:after="0" w:line="240" w:lineRule="auto"/>
      </w:pPr>
      <w:r>
        <w:continuationSeparator/>
      </w:r>
    </w:p>
  </w:endnote>
  <w:endnote w:id="1">
    <w:p w14:paraId="5E5E89B2" w14:textId="77777777" w:rsidR="009F2925" w:rsidRPr="00CC2878" w:rsidRDefault="009F2925" w:rsidP="009F2925">
      <w:pPr>
        <w:pStyle w:val="NormalWeb"/>
        <w:spacing w:after="0" w:afterAutospacing="0" w:line="20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Style w:val="EndnoteReference"/>
        </w:rPr>
        <w:endnoteRef/>
      </w:r>
      <w:r>
        <w:t xml:space="preserve"> </w:t>
      </w:r>
      <w:r w:rsidRPr="009F29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“Diet-Related Medical Expenditure Impacts of a CSA Voucher Program”, Department of Agricultural Economics Staff Paper No. 497, University of Kentucky, </w:t>
      </w:r>
      <w:proofErr w:type="gramStart"/>
      <w:r w:rsidRPr="009F2925">
        <w:rPr>
          <w:rFonts w:asciiTheme="minorHAnsi" w:hAnsiTheme="minorHAnsi" w:cstheme="minorHAnsi"/>
          <w:color w:val="000000" w:themeColor="text1"/>
          <w:sz w:val="20"/>
          <w:szCs w:val="20"/>
        </w:rPr>
        <w:t>November,</w:t>
      </w:r>
      <w:proofErr w:type="gramEnd"/>
      <w:r w:rsidRPr="009F29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2018. </w:t>
      </w:r>
      <w:hyperlink r:id="rId1" w:history="1">
        <w:r w:rsidRPr="009F2925">
          <w:rPr>
            <w:rStyle w:val="Hyperlink"/>
            <w:rFonts w:asciiTheme="minorHAnsi" w:hAnsiTheme="minorHAnsi" w:cstheme="minorHAnsi"/>
            <w:sz w:val="20"/>
            <w:szCs w:val="20"/>
          </w:rPr>
          <w:t>www.uky.edu/ccd/sites/www.uky.edu.ccd/files/Rossi%26Woods_CSAVoucher_StaffPaper_11092018.pdf</w:t>
        </w:r>
      </w:hyperlink>
    </w:p>
    <w:p w14:paraId="6BD56341" w14:textId="77777777" w:rsidR="009F2925" w:rsidRDefault="009F2925">
      <w:pPr>
        <w:pStyle w:val="EndnoteText"/>
      </w:pPr>
    </w:p>
  </w:endnote>
  <w:endnote w:id="2">
    <w:p w14:paraId="744D9C89" w14:textId="77777777" w:rsidR="009F2925" w:rsidRPr="00B16933" w:rsidRDefault="009F2925" w:rsidP="009F292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Style w:val="EndnoteReference"/>
        </w:rPr>
        <w:endnoteRef/>
      </w:r>
      <w:r>
        <w:t xml:space="preserve"> </w:t>
      </w:r>
      <w:r w:rsidRPr="009F2925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Allen, James, IV, Jairus Rossi, Timothy Woods, Alison Davis, “Do community supported agriculture </w:t>
      </w:r>
      <w:proofErr w:type="spellStart"/>
      <w:r w:rsidRPr="009F2925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programmes</w:t>
      </w:r>
      <w:proofErr w:type="spellEnd"/>
      <w:r w:rsidRPr="009F2925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encourage change to food lifestyle </w:t>
      </w:r>
      <w:proofErr w:type="spellStart"/>
      <w:r w:rsidRPr="009F2925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behaviours</w:t>
      </w:r>
      <w:proofErr w:type="spellEnd"/>
      <w:r w:rsidRPr="009F2925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and health outcomes? New evidence from shareholders,” International Journal of Agricultural Sustainability, May 2016. </w:t>
      </w:r>
      <w:proofErr w:type="spellStart"/>
      <w:r w:rsidRPr="009F2925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doi</w:t>
      </w:r>
      <w:proofErr w:type="spellEnd"/>
      <w:r w:rsidRPr="009F2925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: 10.1080/14735903.2016.1177866.  </w:t>
      </w:r>
      <w:hyperlink r:id="rId2" w:history="1">
        <w:r w:rsidRPr="009F2925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  <w:bdr w:val="none" w:sz="0" w:space="0" w:color="auto" w:frame="1"/>
          </w:rPr>
          <w:t>http://www.tandfonline.com/10.1080/14735903.2016.1177866</w:t>
        </w:r>
      </w:hyperlink>
      <w:r w:rsidRPr="00B16933">
        <w:rPr>
          <w:rFonts w:asciiTheme="minorHAnsi" w:hAnsiTheme="minorHAnsi" w:cstheme="minorHAnsi"/>
          <w:color w:val="000000" w:themeColor="text1"/>
        </w:rPr>
        <w:t xml:space="preserve"> </w:t>
      </w:r>
    </w:p>
    <w:p w14:paraId="607B3193" w14:textId="77777777" w:rsidR="009F2925" w:rsidRDefault="009F2925" w:rsidP="009F292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DD505" w14:textId="77777777" w:rsidR="00DF64CA" w:rsidRDefault="00DF64CA" w:rsidP="00680329">
      <w:pPr>
        <w:spacing w:after="0" w:line="240" w:lineRule="auto"/>
      </w:pPr>
      <w:r>
        <w:separator/>
      </w:r>
    </w:p>
  </w:footnote>
  <w:footnote w:type="continuationSeparator" w:id="0">
    <w:p w14:paraId="45E36913" w14:textId="77777777" w:rsidR="00DF64CA" w:rsidRDefault="00DF64CA" w:rsidP="0068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2E9"/>
    <w:multiLevelType w:val="hybridMultilevel"/>
    <w:tmpl w:val="55CE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D7C"/>
    <w:multiLevelType w:val="hybridMultilevel"/>
    <w:tmpl w:val="C418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021"/>
    <w:multiLevelType w:val="hybridMultilevel"/>
    <w:tmpl w:val="202A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2C5D"/>
    <w:multiLevelType w:val="hybridMultilevel"/>
    <w:tmpl w:val="6FB4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1004F"/>
    <w:multiLevelType w:val="hybridMultilevel"/>
    <w:tmpl w:val="FB58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F07B1"/>
    <w:multiLevelType w:val="hybridMultilevel"/>
    <w:tmpl w:val="A0FA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D6B44"/>
    <w:multiLevelType w:val="hybridMultilevel"/>
    <w:tmpl w:val="9F64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62AD8"/>
    <w:multiLevelType w:val="hybridMultilevel"/>
    <w:tmpl w:val="A2AE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414C1"/>
    <w:multiLevelType w:val="hybridMultilevel"/>
    <w:tmpl w:val="AF420988"/>
    <w:lvl w:ilvl="0" w:tplc="E6A04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44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86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A3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6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81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E6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0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4F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29"/>
    <w:rsid w:val="000141DF"/>
    <w:rsid w:val="00044D6A"/>
    <w:rsid w:val="000E33E0"/>
    <w:rsid w:val="00246407"/>
    <w:rsid w:val="00317475"/>
    <w:rsid w:val="00343B07"/>
    <w:rsid w:val="00383A01"/>
    <w:rsid w:val="00401654"/>
    <w:rsid w:val="0045350B"/>
    <w:rsid w:val="00464B51"/>
    <w:rsid w:val="004F622C"/>
    <w:rsid w:val="00624443"/>
    <w:rsid w:val="00626175"/>
    <w:rsid w:val="00672533"/>
    <w:rsid w:val="00680329"/>
    <w:rsid w:val="009F2925"/>
    <w:rsid w:val="00A65FCA"/>
    <w:rsid w:val="00AD26C9"/>
    <w:rsid w:val="00B16933"/>
    <w:rsid w:val="00B37E8A"/>
    <w:rsid w:val="00B57F22"/>
    <w:rsid w:val="00B8179C"/>
    <w:rsid w:val="00BB4B42"/>
    <w:rsid w:val="00BC4DE9"/>
    <w:rsid w:val="00C74B7D"/>
    <w:rsid w:val="00C76251"/>
    <w:rsid w:val="00CC2878"/>
    <w:rsid w:val="00DF64CA"/>
    <w:rsid w:val="00F3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0ABF"/>
  <w15:chartTrackingRefBased/>
  <w15:docId w15:val="{465C3E76-A3FC-4CFC-8773-95A8330F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vff3xh4yd">
    <w:name w:val="_3vff3xh4yd"/>
    <w:basedOn w:val="Normal"/>
    <w:rsid w:val="0068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3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3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32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7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4B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B7D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B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B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4B7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169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2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3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9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ndfonline.com/10.1080/14735903.2016.117786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oke@oak-ky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x.doi.org/10.3390/su90915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k-k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k.springer.com/article/10.1007/s10460-017-9779-7" TargetMode="External"/><Relationship Id="rId10" Type="http://schemas.openxmlformats.org/officeDocument/2006/relationships/hyperlink" Target="http://www.kyfarmsha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yfarmshare.org/" TargetMode="External"/><Relationship Id="rId14" Type="http://schemas.openxmlformats.org/officeDocument/2006/relationships/hyperlink" Target="www.uky.edu/ccd/sites/www.uky.edu.ccd/files/Rossi%26Woods_CSAVoucher_StaffPaper_11092018.pdf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ndfonline.com/10.1080/14735903.2016.1177866" TargetMode="External"/><Relationship Id="rId1" Type="http://schemas.openxmlformats.org/officeDocument/2006/relationships/hyperlink" Target="www.uky.edu/ccd/sites/www.uky.edu.ccd/files/Rossi%26Woods_CSAVoucher_StaffPaper_1109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6F85-4930-47A7-8C3A-4AFE8650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Gentile</dc:creator>
  <cp:keywords/>
  <dc:description/>
  <cp:lastModifiedBy>Brooke Gentile</cp:lastModifiedBy>
  <cp:revision>14</cp:revision>
  <cp:lastPrinted>2019-01-24T21:22:00Z</cp:lastPrinted>
  <dcterms:created xsi:type="dcterms:W3CDTF">2019-01-10T02:22:00Z</dcterms:created>
  <dcterms:modified xsi:type="dcterms:W3CDTF">2019-01-25T22:21:00Z</dcterms:modified>
</cp:coreProperties>
</file>